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8F18" w14:textId="30BE3F94" w:rsidR="006738D7" w:rsidRDefault="006738D7" w:rsidP="006738D7">
      <w:pPr>
        <w:jc w:val="both"/>
        <w:rPr>
          <w:lang w:val="es-ES"/>
        </w:rPr>
      </w:pPr>
      <w:r>
        <w:rPr>
          <w:lang w:val="es-ES"/>
        </w:rPr>
        <w:t>Buenos días. Como se los mencionaba esta semana en el Comité de Gerencia, debemos ser cuidadosos en la realización de pruebas en punto de atención del paciente – POCT directamente en el Laboratorio Clínico, desconozco la normativa de España, pero si conozco la colombiana; a continuación, relaciono algunos tópicos importantes:</w:t>
      </w:r>
    </w:p>
    <w:p w14:paraId="0D99F147" w14:textId="65C9E278" w:rsidR="006D35EE" w:rsidRDefault="006D35EE" w:rsidP="006738D7">
      <w:pPr>
        <w:jc w:val="both"/>
        <w:rPr>
          <w:lang w:val="es-ES"/>
        </w:rPr>
      </w:pPr>
    </w:p>
    <w:p w14:paraId="0D01FFD8" w14:textId="645825FA" w:rsidR="006D35EE" w:rsidRDefault="006D35EE" w:rsidP="006738D7">
      <w:pPr>
        <w:jc w:val="both"/>
        <w:rPr>
          <w:lang w:val="es-ES"/>
        </w:rPr>
      </w:pPr>
      <w:r>
        <w:rPr>
          <w:lang w:val="es-ES"/>
        </w:rPr>
        <w:t xml:space="preserve">Definición </w:t>
      </w:r>
      <w:r w:rsidR="00240D2D">
        <w:rPr>
          <w:lang w:val="es-ES"/>
        </w:rPr>
        <w:t xml:space="preserve">Pruebas de Laboratorio clasificadas como POCT: </w:t>
      </w:r>
    </w:p>
    <w:p w14:paraId="26A77E76" w14:textId="02AB40B3" w:rsidR="006738D7" w:rsidRDefault="006738D7">
      <w:pPr>
        <w:rPr>
          <w:lang w:val="es-ES"/>
        </w:rPr>
      </w:pPr>
    </w:p>
    <w:p w14:paraId="7EDDBF9B" w14:textId="68A3219A" w:rsidR="006738D7" w:rsidRPr="00DF21C4" w:rsidRDefault="00240D2D" w:rsidP="00240D2D">
      <w:pPr>
        <w:jc w:val="both"/>
        <w:rPr>
          <w:sz w:val="22"/>
          <w:szCs w:val="22"/>
          <w:vertAlign w:val="subscript"/>
        </w:rPr>
      </w:pPr>
      <w:r w:rsidRPr="00240D2D">
        <w:t xml:space="preserve">Las pruebas de laboratorio denominadas POCT por sus siglas en inglés “Point Of Care Testing” o en español llamadas pruebas en el punto de atención al paciente, en su mayoría son pruebas rápidas y algunas pueden traer dispositivos de análisis o equipos portátiles que deben ser manejados por el personal de salud. </w:t>
      </w:r>
      <w:r w:rsidRPr="00240D2D">
        <w:rPr>
          <w:b/>
          <w:bCs/>
          <w:i/>
          <w:iCs/>
          <w:u w:val="single"/>
        </w:rPr>
        <w:t>Como su nombre lo indica, son pruebas que se realizan fuera del laboratorio y en el lugar donde se encuentra el paciente</w:t>
      </w:r>
      <w:r w:rsidRPr="00240D2D">
        <w:t>, lo cual facilita la atención integral y oportuna, reduciendo los costos de desplazamiento.</w:t>
      </w:r>
      <w:r>
        <w:t xml:space="preserve"> [</w:t>
      </w:r>
      <w:r w:rsidRPr="00DF21C4">
        <w:rPr>
          <w:i/>
          <w:iCs/>
          <w:sz w:val="20"/>
          <w:szCs w:val="20"/>
        </w:rPr>
        <w:t>Resolución 200 de 2021</w:t>
      </w:r>
      <w:r w:rsidRPr="00DF21C4">
        <w:rPr>
          <w:sz w:val="22"/>
          <w:szCs w:val="22"/>
        </w:rPr>
        <w:t>]</w:t>
      </w:r>
      <w:r w:rsidR="00DF21C4">
        <w:rPr>
          <w:sz w:val="22"/>
          <w:szCs w:val="22"/>
        </w:rPr>
        <w:t>.</w:t>
      </w:r>
    </w:p>
    <w:p w14:paraId="39C4598D" w14:textId="6221F8C1" w:rsidR="006D35EE" w:rsidRDefault="006D35EE">
      <w:pPr>
        <w:rPr>
          <w:lang w:val="es-ES"/>
        </w:rPr>
      </w:pPr>
    </w:p>
    <w:p w14:paraId="4C50FBB3" w14:textId="4FBCDBDF" w:rsidR="00240D2D" w:rsidRDefault="00240D2D" w:rsidP="00DF21C4">
      <w:pPr>
        <w:jc w:val="both"/>
        <w:rPr>
          <w:lang w:val="es-ES"/>
        </w:rPr>
      </w:pPr>
      <w:r>
        <w:rPr>
          <w:lang w:val="es-ES"/>
        </w:rPr>
        <w:t xml:space="preserve">El cumplimiento de las exigencias establecidas por la normativa de habilitación actual relacionado con las pruebas POCT, será responsabilidad del prestador que habilite </w:t>
      </w:r>
      <w:r w:rsidR="005608DA">
        <w:rPr>
          <w:lang w:val="es-ES"/>
        </w:rPr>
        <w:t>el servicio</w:t>
      </w:r>
      <w:r>
        <w:rPr>
          <w:lang w:val="es-ES"/>
        </w:rPr>
        <w:t xml:space="preserve"> donde se realicen este tipo de pruebas</w:t>
      </w:r>
      <w:r w:rsidR="00DF21C4">
        <w:rPr>
          <w:lang w:val="es-ES"/>
        </w:rPr>
        <w:t xml:space="preserve"> (urgencias,</w:t>
      </w:r>
      <w:r w:rsidR="005608DA">
        <w:rPr>
          <w:lang w:val="es-ES"/>
        </w:rPr>
        <w:t xml:space="preserve"> internación, hemodinamia, cirugía, etc.).</w:t>
      </w:r>
    </w:p>
    <w:p w14:paraId="07890311" w14:textId="2E475FA5" w:rsidR="0057714E" w:rsidRDefault="0057714E" w:rsidP="0057714E">
      <w:pPr>
        <w:jc w:val="both"/>
        <w:rPr>
          <w:lang w:val="es-ES"/>
        </w:rPr>
      </w:pPr>
    </w:p>
    <w:p w14:paraId="55466228" w14:textId="580D2430" w:rsidR="005608DA" w:rsidRDefault="00DC6724" w:rsidP="00DF21C4">
      <w:pPr>
        <w:jc w:val="both"/>
        <w:rPr>
          <w:lang w:val="es-ES"/>
        </w:rPr>
      </w:pPr>
      <w:r>
        <w:rPr>
          <w:lang w:val="es-ES"/>
        </w:rPr>
        <w:t>Vencimiento cumplimiento exigencias normativas realización pruebas POCT</w:t>
      </w:r>
    </w:p>
    <w:p w14:paraId="0B322F04" w14:textId="1F425D4F" w:rsidR="004D25F1" w:rsidRDefault="004D25F1" w:rsidP="00DF21C4">
      <w:pPr>
        <w:jc w:val="both"/>
        <w:rPr>
          <w:lang w:val="es-ES"/>
        </w:rPr>
      </w:pPr>
    </w:p>
    <w:p w14:paraId="500263A9" w14:textId="39A74D18" w:rsidR="004D25F1" w:rsidRDefault="004D25F1" w:rsidP="00DF21C4">
      <w:pPr>
        <w:jc w:val="both"/>
        <w:rPr>
          <w:lang w:val="es-ES"/>
        </w:rPr>
      </w:pPr>
      <w:r>
        <w:rPr>
          <w:lang w:val="es-ES"/>
        </w:rPr>
        <w:t>Certificación Buenas Prácticas Elaboración</w:t>
      </w:r>
      <w:r w:rsidR="00D448C8">
        <w:rPr>
          <w:lang w:val="es-ES"/>
        </w:rPr>
        <w:t xml:space="preserve">, Laboratorio y Manufactura </w:t>
      </w:r>
      <w:r>
        <w:rPr>
          <w:lang w:val="es-ES"/>
        </w:rPr>
        <w:t xml:space="preserve">INVIMA </w:t>
      </w:r>
      <w:r w:rsidR="006B289F">
        <w:rPr>
          <w:lang w:val="es-ES"/>
        </w:rPr>
        <w:t>-</w:t>
      </w:r>
      <w:r>
        <w:rPr>
          <w:lang w:val="es-ES"/>
        </w:rPr>
        <w:t xml:space="preserve"> Resolución 335 de 2022</w:t>
      </w:r>
    </w:p>
    <w:p w14:paraId="0035CB6D" w14:textId="5CEBDD41" w:rsidR="004D25F1" w:rsidRDefault="004D25F1" w:rsidP="00DF21C4">
      <w:pPr>
        <w:jc w:val="both"/>
        <w:rPr>
          <w:lang w:val="es-ES"/>
        </w:rPr>
      </w:pPr>
    </w:p>
    <w:p w14:paraId="5F93EF49" w14:textId="299D6D21" w:rsidR="004D25F1" w:rsidRDefault="004D25F1" w:rsidP="00DF21C4">
      <w:pPr>
        <w:jc w:val="both"/>
        <w:rPr>
          <w:lang w:val="es-ES"/>
        </w:rPr>
      </w:pPr>
      <w:r>
        <w:rPr>
          <w:lang w:val="es-ES"/>
        </w:rPr>
        <w:t>El Ministerio de Salud y Protección Social, expide la Resolución 335 de 2022, donde se imparten las directrices para la obtención de certificados de cumplimiento de las buenas prácticas de elaboración, laboratorio y manufactura ante del INVIMA</w:t>
      </w:r>
      <w:r w:rsidR="006B289F">
        <w:rPr>
          <w:lang w:val="es-ES"/>
        </w:rPr>
        <w:t>, la cual es aplicable a:</w:t>
      </w:r>
    </w:p>
    <w:p w14:paraId="177061C2" w14:textId="0E2BF39C" w:rsidR="006B289F" w:rsidRDefault="006B289F" w:rsidP="00DF21C4">
      <w:pPr>
        <w:jc w:val="both"/>
        <w:rPr>
          <w:lang w:val="es-ES"/>
        </w:rPr>
      </w:pPr>
    </w:p>
    <w:p w14:paraId="472D60B1" w14:textId="15513961" w:rsidR="006B289F" w:rsidRDefault="006B289F" w:rsidP="00DF21C4">
      <w:pPr>
        <w:jc w:val="both"/>
        <w:rPr>
          <w:lang w:val="es-ES"/>
        </w:rPr>
      </w:pPr>
      <w:r>
        <w:rPr>
          <w:lang w:val="es-ES"/>
        </w:rPr>
        <w:t>Fabricantes y en general todo aquel que desarrolle en alguna de las etapas de proceso productivo de medicamentos de síntesis química, biológica, biotecnológica, radiofármacos, antivenennos, homeopáticos, gases medicinales, productos fitoterapéuticos y suplementos dietarios; requerirán certificación en Buenas Prácticas de Manufactura – BPM.</w:t>
      </w:r>
    </w:p>
    <w:p w14:paraId="6813075E" w14:textId="3A56A694" w:rsidR="006B289F" w:rsidRDefault="005E6CFE" w:rsidP="00DF21C4">
      <w:pPr>
        <w:jc w:val="both"/>
        <w:rPr>
          <w:lang w:val="es-ES"/>
        </w:rPr>
      </w:pPr>
      <w:r>
        <w:rPr>
          <w:lang w:val="es-ES"/>
        </w:rPr>
        <w:t>Laboratorios que realicen control de calidad de medicamentos, que requieren certificación de Buenas Prácticas de Laboratorio – BPL.</w:t>
      </w:r>
    </w:p>
    <w:p w14:paraId="29415B73" w14:textId="78794FA8" w:rsidR="005E6CFE" w:rsidRDefault="005E6CFE" w:rsidP="00DF21C4">
      <w:pPr>
        <w:jc w:val="both"/>
        <w:rPr>
          <w:lang w:val="es-ES"/>
        </w:rPr>
      </w:pPr>
      <w:r>
        <w:rPr>
          <w:lang w:val="es-ES"/>
        </w:rPr>
        <w:t>Servicios y establecimientos farmacéuticos que realicen actividades de adecuación y ajuste de concentración de dosis, preparación de nutriciones parenterales, preparaciones magistrales, Reempaque y reenvase de medicamentos, requieren certificación en Buenas Prácticas de Elaboración – BPE.</w:t>
      </w:r>
    </w:p>
    <w:p w14:paraId="60F1CE53" w14:textId="48124125" w:rsidR="005E6CFE" w:rsidRDefault="005E6CFE" w:rsidP="00DF21C4">
      <w:pPr>
        <w:jc w:val="both"/>
        <w:rPr>
          <w:lang w:val="es-ES"/>
        </w:rPr>
      </w:pPr>
      <w:r>
        <w:rPr>
          <w:lang w:val="es-ES"/>
        </w:rPr>
        <w:t xml:space="preserve">Las radiofarmacias que realicen actividades con radiofármacos o radionúclidos, juegos de reactivos, generadores, radiomarcación de muestras autólogas precursores, producción de radiofármacos con isótopos provenientes de aceleradores (ciclotrones), síntesis de radiofármacos para Tomografía por Emisión de Positrones (PET), marcación o síntesis de </w:t>
      </w:r>
      <w:r>
        <w:rPr>
          <w:lang w:val="es-ES"/>
        </w:rPr>
        <w:lastRenderedPageBreak/>
        <w:t>radiofármacos para terapias. Se requiere certificación en Buenas Prácticas de Elaboración de Radiofármacos – BPER.</w:t>
      </w:r>
    </w:p>
    <w:p w14:paraId="7F59F131" w14:textId="1BD9420B" w:rsidR="00F77D68" w:rsidRDefault="00F77D68" w:rsidP="00DF21C4">
      <w:pPr>
        <w:jc w:val="both"/>
        <w:rPr>
          <w:lang w:val="es-ES"/>
        </w:rPr>
      </w:pPr>
      <w:r>
        <w:rPr>
          <w:lang w:val="es-ES"/>
        </w:rPr>
        <w:t>INVIMA responsable de las respectivas renovaciones.</w:t>
      </w:r>
    </w:p>
    <w:p w14:paraId="1B7EB3ED" w14:textId="66C948B0" w:rsidR="00F77D68" w:rsidRDefault="00F77D68" w:rsidP="00DF21C4">
      <w:pPr>
        <w:jc w:val="both"/>
        <w:rPr>
          <w:lang w:val="es-ES"/>
        </w:rPr>
      </w:pPr>
    </w:p>
    <w:p w14:paraId="52F66D9D" w14:textId="1D1974AA" w:rsidR="00F77D68" w:rsidRDefault="00F77D68" w:rsidP="00DF21C4">
      <w:pPr>
        <w:jc w:val="both"/>
        <w:rPr>
          <w:lang w:val="es-ES"/>
        </w:rPr>
      </w:pPr>
      <w:r>
        <w:rPr>
          <w:lang w:val="es-ES"/>
        </w:rPr>
        <w:t xml:space="preserve">Las visitas del INVIMA luego de entregada la documentación completa, será de dos (2) meses para certificaciones de primera vez y de tres (3) meses para recertificaciones. Los resultados de la visita podrán ser: concepto de </w:t>
      </w:r>
      <w:r w:rsidR="00D448C8">
        <w:rPr>
          <w:lang w:val="es-ES"/>
        </w:rPr>
        <w:t>cumple,</w:t>
      </w:r>
      <w:r>
        <w:rPr>
          <w:lang w:val="es-ES"/>
        </w:rPr>
        <w:t xml:space="preserve"> concepto de cumple condicionado o concepto de no cumple.</w:t>
      </w:r>
    </w:p>
    <w:p w14:paraId="14413EF5" w14:textId="2618F07B" w:rsidR="00F77D68" w:rsidRDefault="00F77D68" w:rsidP="00DF21C4">
      <w:pPr>
        <w:jc w:val="both"/>
        <w:rPr>
          <w:lang w:val="es-ES"/>
        </w:rPr>
      </w:pPr>
    </w:p>
    <w:p w14:paraId="25CE705B" w14:textId="44C0EB0F" w:rsidR="00F77D68" w:rsidRDefault="00F77D68" w:rsidP="00DF21C4">
      <w:pPr>
        <w:jc w:val="both"/>
        <w:rPr>
          <w:lang w:val="es-ES"/>
        </w:rPr>
      </w:pPr>
      <w:r>
        <w:rPr>
          <w:lang w:val="es-ES"/>
        </w:rPr>
        <w:t>La presente normativa rige a partir del 30 de junio de 2022</w:t>
      </w:r>
    </w:p>
    <w:p w14:paraId="6C6945CF" w14:textId="77777777" w:rsidR="006B289F" w:rsidRDefault="006B289F" w:rsidP="00DF21C4">
      <w:pPr>
        <w:jc w:val="both"/>
        <w:rPr>
          <w:lang w:val="es-ES"/>
        </w:rPr>
      </w:pPr>
    </w:p>
    <w:p w14:paraId="69E661F4" w14:textId="4648BB56" w:rsidR="004D25F1" w:rsidRDefault="004D25F1" w:rsidP="00DF21C4">
      <w:pPr>
        <w:jc w:val="both"/>
        <w:rPr>
          <w:lang w:val="es-ES"/>
        </w:rPr>
      </w:pPr>
    </w:p>
    <w:p w14:paraId="6F47A915" w14:textId="77777777" w:rsidR="004D25F1" w:rsidRDefault="004D25F1" w:rsidP="00DF21C4">
      <w:pPr>
        <w:jc w:val="both"/>
        <w:rPr>
          <w:lang w:val="es-ES"/>
        </w:rPr>
      </w:pPr>
    </w:p>
    <w:p w14:paraId="26137EB4" w14:textId="54F08287" w:rsidR="00DC6724" w:rsidRDefault="00DC6724" w:rsidP="00DF21C4">
      <w:pPr>
        <w:jc w:val="both"/>
        <w:rPr>
          <w:lang w:val="es-ES"/>
        </w:rPr>
      </w:pPr>
    </w:p>
    <w:p w14:paraId="29CC454B" w14:textId="77777777" w:rsidR="00DC6724" w:rsidRPr="006F6A16" w:rsidRDefault="00DC6724" w:rsidP="00DF21C4">
      <w:pPr>
        <w:jc w:val="both"/>
        <w:rPr>
          <w:lang w:val="es-ES"/>
        </w:rPr>
      </w:pPr>
    </w:p>
    <w:sectPr w:rsidR="00DC6724" w:rsidRPr="006F6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16"/>
    <w:rsid w:val="00070394"/>
    <w:rsid w:val="001647C5"/>
    <w:rsid w:val="00240D2D"/>
    <w:rsid w:val="003458EF"/>
    <w:rsid w:val="004D25F1"/>
    <w:rsid w:val="005608DA"/>
    <w:rsid w:val="0057714E"/>
    <w:rsid w:val="005E6CFE"/>
    <w:rsid w:val="006738D7"/>
    <w:rsid w:val="006B289F"/>
    <w:rsid w:val="006D35EE"/>
    <w:rsid w:val="006F6A16"/>
    <w:rsid w:val="009165D4"/>
    <w:rsid w:val="0092347F"/>
    <w:rsid w:val="009C0760"/>
    <w:rsid w:val="00D448C8"/>
    <w:rsid w:val="00DC6724"/>
    <w:rsid w:val="00DF21C4"/>
    <w:rsid w:val="00EB7503"/>
    <w:rsid w:val="00F7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DB06B7"/>
  <w15:chartTrackingRefBased/>
  <w15:docId w15:val="{3B1D1A31-31AD-004F-B7EC-73FEEF4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67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6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Ramírez Bedoya</dc:creator>
  <cp:keywords/>
  <dc:description/>
  <cp:lastModifiedBy>Lina Maria Ramírez Bedoya</cp:lastModifiedBy>
  <cp:revision>1</cp:revision>
  <dcterms:created xsi:type="dcterms:W3CDTF">2022-03-21T15:53:00Z</dcterms:created>
  <dcterms:modified xsi:type="dcterms:W3CDTF">2022-03-26T19:34:00Z</dcterms:modified>
</cp:coreProperties>
</file>